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ames-4"/>
    <w:p>
      <w:pPr>
        <w:pStyle w:val="Heading1"/>
      </w:pPr>
      <w:r>
        <w:t xml:space="preserve">Homiletics Analysis: James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James 4 is a sustained confrontation with worldliness in the covenant community. The chapter opens by diagnosing the source of conflict and strife among the readers: desires (</w:t>
      </w:r>
      <w:r>
        <w:rPr>
          <w:i/>
          <w:iCs/>
        </w:rPr>
        <w:t xml:space="preserve">hedonai</w:t>
      </w:r>
      <w:r>
        <w:t xml:space="preserve">) that war within the members, driving covetousness, prayerlessness, and self-serving petition (vv. 1–3). James then escalates the indictment with striking covenantal language: friendship with the world is adultery against God, and the Holy Spirit who dwells in believers is jealous for exclusive devotion (vv. 4–5). The antidote is a sequence of grace-enabled movements — submission to God, resistance of the devil, drawing near to God, mourning over sin, and humbling oneself before the Lord (vv. 6–10). A second movement addresses sins of the tongue in the form of slander and judgment of fellow believers, grounding the prohibition in the claim that only God is Lawgiver and Judge (vv. 11–12). A third movement confronts presumptuous commercial planning that operates without God — the</w:t>
      </w:r>
      <w:r>
        <w:t xml:space="preserve"> </w:t>
      </w:r>
      <w:r>
        <w:t xml:space="preserve">“today or tomorrow, this city”</w:t>
      </w:r>
      <w:r>
        <w:t xml:space="preserve"> </w:t>
      </w:r>
      <w:r>
        <w:t xml:space="preserve">boast — and calls for a life that holds all plans contingently, acknowledging that the Lord’s will governs all outcomes (vv. 13–17). The chapter closes with a terse warning: knowing the right thing and not doing it is sin (v. 17).</w:t>
      </w:r>
    </w:p>
    <w:p>
      <w:pPr>
        <w:pStyle w:val="BodyText"/>
      </w:pPr>
      <w:r>
        <w:rPr>
          <w:b/>
          <w:bCs/>
        </w:rPr>
        <w:t xml:space="preserve">This Text — Intent</w:t>
      </w:r>
    </w:p>
    <w:p>
      <w:pPr>
        <w:pStyle w:val="BodyText"/>
      </w:pPr>
      <w:r>
        <w:t xml:space="preserve">God is seeking to produce in the reader a crisis of self-examination that exposes the deep root of worldliness — not merely external behavior but the disordered loves and autonomous self-sufficiency operating beneath surface-level religiosity — and then to drive that conviction toward genuine repentance and reorientation. The passage does not end with condemnation but with the promise that God gives grace to the humble (v. 6), that the devil flees from those who resist him (v. 7), and that God draws near to those who draw near to Him (v. 8). The intent, therefore, is not to crush but to convert — to move the reader from the posture of the autonomous self-provider into the posture of the dependent, humble, grace-receiving covenant member. Every section of the chapter serves this single intent: expose the idols beneath the behavior, name the covenant adultery they constitute, and call the reader back to the only posture in which God’s grace flows — humility.</w:t>
      </w:r>
    </w:p>
    <w:p>
      <w:r>
        <w:pict>
          <v:rect style="width:0;height:1.5pt" o:hralign="center" o:hrstd="t" o:hr="t"/>
        </w:pict>
      </w:r>
    </w:p>
    <w:p>
      <w:pPr>
        <w:pStyle w:val="FirstParagraph"/>
      </w:pPr>
      <w:r>
        <w:rPr>
          <w:b/>
          <w:bCs/>
        </w:rPr>
        <w:t xml:space="preserve">Subject Sentence:</w:t>
      </w:r>
      <w:r>
        <w:t xml:space="preserve"> </w:t>
      </w:r>
      <w:r>
        <w:t xml:space="preserve">Worldliness is covenant adultery; God gives grace only to the humble who return.</w:t>
      </w:r>
    </w:p>
    <w:p>
      <w:r>
        <w:pict>
          <v:rect style="width:0;height:1.5pt" o:hralign="center" o:hrstd="t" o:hr="t"/>
        </w:pict>
      </w:r>
    </w:p>
    <w:p>
      <w:pPr>
        <w:pStyle w:val="FirstParagraph"/>
      </w:pPr>
      <w:r>
        <w:rPr>
          <w:b/>
          <w:bCs/>
        </w:rPr>
        <w:t xml:space="preserve">Primary Claim:</w:t>
      </w:r>
      <w:r>
        <w:t xml:space="preserve"> </w:t>
      </w:r>
      <w:r>
        <w:t xml:space="preserve">God is confronting the community’s love affair with worldly self-sufficiency — in its conflicts, its speech, and its plans — calling every member to the crisis of repentance and the posture of humble dependence, where grace is received and God draws near.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Source of Conflict (vv. 1–3) — Desires vs. Social Conditions</w:t>
      </w:r>
    </w:p>
    <w:p>
      <w:pPr>
        <w:pStyle w:val="BodyText"/>
      </w:pPr>
      <w:r>
        <w:t xml:space="preserve">Some interpreters, particularly those reading James through a social-justice lens, locate the conflicts of vv. 1–3 primarily in external socioeconomic tensions — the rich oppressing the poor, structural inequities producing resentment. This reading is not without textual warrant in the broader letter (cf. James 2:1–7; 5:1–6), and the socioeconomic context of James’s audience is real. However, the text of chapter 4 is explicit: the source of fights and quarrels is</w:t>
      </w:r>
      <w:r>
        <w:t xml:space="preserve"> </w:t>
      </w:r>
      <w:r>
        <w:rPr>
          <w:i/>
          <w:iCs/>
        </w:rPr>
        <w:t xml:space="preserve">internal desires</w:t>
      </w:r>
      <w:r>
        <w:t xml:space="preserve"> </w:t>
      </w:r>
      <w:r>
        <w:t xml:space="preserve">(</w:t>
      </w:r>
      <w:r>
        <w:rPr>
          <w:i/>
          <w:iCs/>
        </w:rPr>
        <w:t xml:space="preserve">hedonai en tois melesin hymōn</w:t>
      </w:r>
      <w:r>
        <w:t xml:space="preserve"> </w:t>
      </w:r>
      <w:r>
        <w:t xml:space="preserve">— pleasures warring in your members). James is not denying social complexity but is diagnosing a deeper root: the problem is not primarily what is being done to you but what is happening inside you. The Reformed reading insists on this anthropological diagnosis — disordered desires, not disordered circumstances, are the controlling cause. This does not collapse into individualism that ignores systemic issues addressed elsewhere in the letter; it simply reads chapter 4’s diagnosis on its own terms.</w:t>
      </w:r>
      <w:r>
        <w:t xml:space="preserve"> </w:t>
      </w:r>
      <w:r>
        <w:rPr>
          <w:i/>
          <w:iCs/>
        </w:rPr>
        <w:t xml:space="preserve">Verdict</w:t>
      </w:r>
      <w:r>
        <w:t xml:space="preserve">: The social reading qualifies at the margins but must not be allowed to displace James’s own explicit diagnosis of the heart.</w:t>
      </w:r>
    </w:p>
    <w:p>
      <w:pPr>
        <w:pStyle w:val="BodyText"/>
      </w:pPr>
      <w:r>
        <w:rPr>
          <w:b/>
          <w:bCs/>
        </w:rPr>
        <w:t xml:space="preserve">“Adultery”</w:t>
      </w:r>
      <w:r>
        <w:rPr>
          <w:b/>
          <w:bCs/>
        </w:rPr>
        <w:t xml:space="preserve"> </w:t>
      </w:r>
      <w:r>
        <w:rPr>
          <w:b/>
          <w:bCs/>
        </w:rPr>
        <w:t xml:space="preserve">and the Jealous Spirit (vv. 4–5)</w:t>
      </w:r>
    </w:p>
    <w:p>
      <w:pPr>
        <w:pStyle w:val="BodyText"/>
      </w:pPr>
      <w:r>
        <w:t xml:space="preserve">The adultery language (</w:t>
      </w:r>
      <w:r>
        <w:rPr>
          <w:i/>
          <w:iCs/>
        </w:rPr>
        <w:t xml:space="preserve">moichalides</w:t>
      </w:r>
      <w:r>
        <w:t xml:space="preserve"> </w:t>
      </w:r>
      <w:r>
        <w:t xml:space="preserve">— adulteresses) is read by some interpreters primarily as hyperbole or rhetorical intensification — strong language for spiritual compromise. Wesleyan/Arminian interpreters sometimes use this passage to argue for the possibility of genuine believers permanently apostatizing into</w:t>
      </w:r>
      <w:r>
        <w:t xml:space="preserve"> </w:t>
      </w:r>
      <w:r>
        <w:t xml:space="preserve">“friendship with the world”</w:t>
      </w:r>
      <w:r>
        <w:t xml:space="preserve"> </w:t>
      </w:r>
      <w:r>
        <w:t xml:space="preserve">and thereby losing standing before God. The Reformed reading understands the adultery metaphor in its covenantal frame: James is drawing on the Old Testament prophetic tradition (Hosea, Jeremiah, Ezekiel) in which Israel’s idolatry is consistently figured as marital unfaithfulness. The address (</w:t>
      </w:r>
      <w:r>
        <w:rPr>
          <w:i/>
          <w:iCs/>
        </w:rPr>
        <w:t xml:space="preserve">moichalides</w:t>
      </w:r>
      <w:r>
        <w:t xml:space="preserve">) does not require that the recipients have finally and irreversibly apostasized — the entire passage is a call to return, not a verdict of abandonment. The jealousy of the Spirit (v. 5) is likewise covenantal: God’s jealousy is not insecure possessiveness but the righteous claim of the covenant Lord over His people. The passage functions as a prophetic warning and call to repentance, consistent with how the Old Testament prophets addressed covenant Israel without declaring them finally cut off.</w:t>
      </w:r>
      <w:r>
        <w:t xml:space="preserve"> </w:t>
      </w:r>
      <w:r>
        <w:rPr>
          <w:i/>
          <w:iCs/>
        </w:rPr>
        <w:t xml:space="preserve">Verdict</w:t>
      </w:r>
      <w:r>
        <w:t xml:space="preserve">: The Arminian reading overpresses the language toward permanent apostasy; the Reformed reading correctly situates it as a prophetic confrontation designed to produce repentance, not render a final verdict.</w:t>
      </w:r>
    </w:p>
    <w:p>
      <w:pPr>
        <w:pStyle w:val="BodyText"/>
      </w:pPr>
      <w:r>
        <w:rPr>
          <w:b/>
          <w:bCs/>
        </w:rPr>
        <w:t xml:space="preserve">The Quotation in Verse 5</w:t>
      </w:r>
    </w:p>
    <w:p>
      <w:pPr>
        <w:pStyle w:val="BodyText"/>
      </w:pPr>
      <w:r>
        <w:t xml:space="preserve">“The Spirit that dwells in us yearns jealously”</w:t>
      </w:r>
      <w:r>
        <w:t xml:space="preserve"> </w:t>
      </w:r>
      <w:r>
        <w:t xml:space="preserve">(v. 5) is among the most contested verses in James — no exact Old Testament source is identifiable. Some interpreters read</w:t>
      </w:r>
      <w:r>
        <w:t xml:space="preserve"> </w:t>
      </w:r>
      <w:r>
        <w:t xml:space="preserve">“Spirit”</w:t>
      </w:r>
      <w:r>
        <w:t xml:space="preserve"> </w:t>
      </w:r>
      <w:r>
        <w:t xml:space="preserve">as the human spirit; others as the Holy Spirit. Some read the jealousy as God’s jealousy for the Spirit He placed in us; others as the Spirit’s own jealous yearning for our exclusive devotion. The Reformed reading, following Calvin and more recent commentators (Moo, McCartney), takes the Spirit as the Holy Spirit and the jealousy as God’s righteous covenantal jealousy — the Spirit He has caused to dwell in us yearns for our complete allegiance. This reading is supported by the context’s covenantal adultery language and the contrast with</w:t>
      </w:r>
      <w:r>
        <w:t xml:space="preserve"> </w:t>
      </w:r>
      <w:r>
        <w:t xml:space="preserve">“God gives grace to the humble”</w:t>
      </w:r>
      <w:r>
        <w:t xml:space="preserve"> </w:t>
      </w:r>
      <w:r>
        <w:t xml:space="preserve">in v. 6, which follows as the positive corollary. The exact source of the quotation remains uncertain; it may be a paraphrase of themes from Numbers 11:29 or Exodus 20:5 rather than a verbatim citation.</w:t>
      </w:r>
      <w:r>
        <w:t xml:space="preserve"> </w:t>
      </w:r>
      <w:r>
        <w:rPr>
          <w:i/>
          <w:iCs/>
        </w:rPr>
        <w:t xml:space="preserve">Verdict</w:t>
      </w:r>
      <w:r>
        <w:t xml:space="preserve">: The Holy Spirit reading is preferred; the exact quotation source remains an acknowledged uncertainty without affecting the passage’s central claim.</w:t>
      </w:r>
    </w:p>
    <w:p>
      <w:pPr>
        <w:pStyle w:val="BodyText"/>
      </w:pPr>
      <w:r>
        <w:rPr>
          <w:b/>
          <w:bCs/>
        </w:rPr>
        <w:t xml:space="preserve">The</w:t>
      </w:r>
      <w:r>
        <w:rPr>
          <w:b/>
          <w:bCs/>
        </w:rPr>
        <w:t xml:space="preserve"> </w:t>
      </w:r>
      <w:r>
        <w:rPr>
          <w:b/>
          <w:bCs/>
        </w:rPr>
        <w:t xml:space="preserve">“Submit — Resist — Draw Near”</w:t>
      </w:r>
      <w:r>
        <w:rPr>
          <w:b/>
          <w:bCs/>
        </w:rPr>
        <w:t xml:space="preserve"> </w:t>
      </w:r>
      <w:r>
        <w:rPr>
          <w:b/>
          <w:bCs/>
        </w:rPr>
        <w:t xml:space="preserve">Sequence (vv. 6–10)</w:t>
      </w:r>
    </w:p>
    <w:p>
      <w:pPr>
        <w:pStyle w:val="BodyText"/>
      </w:pPr>
      <w:r>
        <w:t xml:space="preserve">Pelagian and semi-Pelagian readings see the imperatives of vv. 7–10 as a ladder of self-improvement — the reader can and must climb these steps by native moral effort. Wesleyan readings often interpret this passage to support entire sanctification: the cleansing of hands and purifying of hearts (v. 8) is read as a call to and possibility of complete eradication of the sinful nature in this life. The Reformed reading notes that the entire sequence is framed by grace:</w:t>
      </w:r>
      <w:r>
        <w:t xml:space="preserve"> </w:t>
      </w:r>
      <w:r>
        <w:t xml:space="preserve">“God gives grace to the humble”</w:t>
      </w:r>
      <w:r>
        <w:t xml:space="preserve"> </w:t>
      </w:r>
      <w:r>
        <w:t xml:space="preserve">(v. 6, quoting Proverbs 3:34) precedes and enables all the imperatives that follow. The imperatives do not describe autonomous human moral achievement but the shape of grace-enabled repentance. The</w:t>
      </w:r>
      <w:r>
        <w:t xml:space="preserve"> </w:t>
      </w:r>
      <w:r>
        <w:t xml:space="preserve">“double-minded”</w:t>
      </w:r>
      <w:r>
        <w:t xml:space="preserve"> </w:t>
      </w:r>
      <w:r>
        <w:t xml:space="preserve">(</w:t>
      </w:r>
      <w:r>
        <w:rPr>
          <w:i/>
          <w:iCs/>
        </w:rPr>
        <w:t xml:space="preserve">dipsychos</w:t>
      </w:r>
      <w:r>
        <w:t xml:space="preserve">, v. 8) is not a semi-committed seeker but a baptized community member living in covenantal contradiction — allegiance split between God and world. The call to mourn (v. 9) is not ascetic self-flagellation but the grief of genuine repentance, the</w:t>
      </w:r>
      <w:r>
        <w:t xml:space="preserve"> </w:t>
      </w:r>
      <w:r>
        <w:rPr>
          <w:i/>
          <w:iCs/>
        </w:rPr>
        <w:t xml:space="preserve">godly sorrow</w:t>
      </w:r>
      <w:r>
        <w:t xml:space="preserve"> </w:t>
      </w:r>
      <w:r>
        <w:t xml:space="preserve">of 2 Corinthians 7:10. The Wesleyan reading of</w:t>
      </w:r>
      <w:r>
        <w:t xml:space="preserve"> </w:t>
      </w:r>
      <w:r>
        <w:t xml:space="preserve">“purify your hearts”</w:t>
      </w:r>
      <w:r>
        <w:t xml:space="preserve"> </w:t>
      </w:r>
      <w:r>
        <w:t xml:space="preserve">as entire sanctification imports a theological category the text does not warrant.</w:t>
      </w:r>
      <w:r>
        <w:t xml:space="preserve"> </w:t>
      </w:r>
      <w:r>
        <w:rPr>
          <w:i/>
          <w:iCs/>
        </w:rPr>
        <w:t xml:space="preserve">Verdict</w:t>
      </w:r>
      <w:r>
        <w:t xml:space="preserve">: The imperatives describe the contours of gospel repentance, not a program of moral self-elevation. Grace precedes and enables every imperative in this sequence.</w:t>
      </w:r>
    </w:p>
    <w:p>
      <w:pPr>
        <w:pStyle w:val="BodyText"/>
      </w:pPr>
      <w:r>
        <w:rPr>
          <w:b/>
          <w:bCs/>
        </w:rPr>
        <w:t xml:space="preserve">Presumptuous Planning (vv. 13–16) — Scope of the Prohibition</w:t>
      </w:r>
    </w:p>
    <w:p>
      <w:pPr>
        <w:pStyle w:val="BodyText"/>
      </w:pPr>
      <w:r>
        <w:t xml:space="preserve">Some interpreters read this passage as a prohibition of commercial activity or long-term planning per se, favoring a posture of passive non-planning. This misreads James’s target. James does not condemn planning itself — he condemns planning that brackets God entirely from the equation, the boast that operates as though the future is ours to command. The corrective is not</w:t>
      </w:r>
      <w:r>
        <w:t xml:space="preserve"> </w:t>
      </w:r>
      <w:r>
        <w:t xml:space="preserve">“make no plans”</w:t>
      </w:r>
      <w:r>
        <w:t xml:space="preserve"> </w:t>
      </w:r>
      <w:r>
        <w:t xml:space="preserve">but</w:t>
      </w:r>
      <w:r>
        <w:t xml:space="preserve"> </w:t>
      </w:r>
      <w:r>
        <w:t xml:space="preserve">“hold all plans contingently — if the Lord wills”</w:t>
      </w:r>
      <w:r>
        <w:t xml:space="preserve"> </w:t>
      </w:r>
      <w:r>
        <w:t xml:space="preserve">(v. 15). Dispensational interpreters sometimes read vv. 13–17 as primarily addressed to Jewish merchants in the diaspora context, limiting its application to that specific commercial setting. The Reformed reading maintains the universal application of the principle: the boast that operates without acknowledging God’s sovereignty over time and outcome is a form of practical atheism available to every reader in every era.</w:t>
      </w:r>
      <w:r>
        <w:t xml:space="preserve"> </w:t>
      </w:r>
      <w:r>
        <w:rPr>
          <w:i/>
          <w:iCs/>
        </w:rPr>
        <w:t xml:space="preserve">Verdict</w:t>
      </w:r>
      <w:r>
        <w:t xml:space="preserve">: The passage condemns autonomous self-sufficiency in planning, not planning itself. Its application is universal.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3:34</w:t>
      </w:r>
      <w:r>
        <w:t xml:space="preserve"> </w:t>
      </w:r>
      <w:r>
        <w:rPr>
          <w:i/>
          <w:iCs/>
        </w:rPr>
        <w:t xml:space="preserve">(quoted in v. 6)</w:t>
      </w:r>
      <w:r>
        <w:t xml:space="preserve">:</w:t>
      </w:r>
      <w:r>
        <w:t xml:space="preserve"> </w:t>
      </w:r>
      <w:r>
        <w:t xml:space="preserve">“God opposes the proud but gives grace to the humble”</w:t>
      </w:r>
      <w:r>
        <w:t xml:space="preserve"> </w:t>
      </w:r>
      <w:r>
        <w:t xml:space="preserve">— the Old Testament foundation for the entire chapter’s call to humility; James is not innovating but applying a principle embedded in Israel’s wisdom tradition.</w:t>
      </w:r>
    </w:p>
    <w:p>
      <w:pPr>
        <w:numPr>
          <w:ilvl w:val="0"/>
          <w:numId w:val="1001"/>
        </w:numPr>
      </w:pPr>
      <w:r>
        <w:rPr>
          <w:b/>
          <w:bCs/>
        </w:rPr>
        <w:t xml:space="preserve">Hosea 2:2–13; Jeremiah 3:1–10</w:t>
      </w:r>
      <w:r>
        <w:t xml:space="preserve">: The adultery/unfaithfulness metaphor for covenant violation has deep prophetic roots; James is standing in the tradition of the covenant-enforcement prophets, and his readers would have recognized the weight of that tradition.</w:t>
      </w:r>
    </w:p>
    <w:p>
      <w:pPr>
        <w:numPr>
          <w:ilvl w:val="0"/>
          <w:numId w:val="1001"/>
        </w:numPr>
      </w:pPr>
      <w:r>
        <w:rPr>
          <w:b/>
          <w:bCs/>
        </w:rPr>
        <w:t xml:space="preserve">Psalm 24:3–4</w:t>
      </w:r>
      <w:r>
        <w:t xml:space="preserve">:</w:t>
      </w:r>
      <w:r>
        <w:t xml:space="preserve"> </w:t>
      </w:r>
      <w:r>
        <w:t xml:space="preserve">“Who may ascend the hill of the LORD? He who has clean hands and a pure heart”</w:t>
      </w:r>
      <w:r>
        <w:t xml:space="preserve"> </w:t>
      </w:r>
      <w:r>
        <w:t xml:space="preserve">— the background for James’s</w:t>
      </w:r>
      <w:r>
        <w:t xml:space="preserve"> </w:t>
      </w:r>
      <w:r>
        <w:t xml:space="preserve">“cleanse your hands, purify your hearts”</w:t>
      </w:r>
      <w:r>
        <w:t xml:space="preserve"> </w:t>
      </w:r>
      <w:r>
        <w:t xml:space="preserve">(v. 8); access to God comes through purity James knows only grace can produce.</w:t>
      </w:r>
    </w:p>
    <w:p>
      <w:pPr>
        <w:numPr>
          <w:ilvl w:val="0"/>
          <w:numId w:val="1001"/>
        </w:numPr>
      </w:pPr>
      <w:r>
        <w:rPr>
          <w:b/>
          <w:bCs/>
        </w:rPr>
        <w:t xml:space="preserve">2 Corinthians 7:9–11</w:t>
      </w:r>
      <w:r>
        <w:t xml:space="preserve">: Paul’s distinction between worldly sorrow (producing death) and godly sorrow (producing repentance unto life) illuminates James’s call to mourning and grief (v. 9) — this is not morbid self-punishment but the grief that is the gateway to genuine change.</w:t>
      </w:r>
    </w:p>
    <w:p>
      <w:pPr>
        <w:numPr>
          <w:ilvl w:val="0"/>
          <w:numId w:val="1001"/>
        </w:numPr>
      </w:pPr>
      <w:r>
        <w:rPr>
          <w:b/>
          <w:bCs/>
        </w:rPr>
        <w:t xml:space="preserve">Matthew 6:19–34</w:t>
      </w:r>
      <w:r>
        <w:t xml:space="preserve">: Jesus’s Sermon on the Mount teaching on divided loyalties, anxiety, and trusting God for what tomorrow holds provides the closest parallel to James’s diagnosis of double-mindedness and presumptuous planning; both passages diagnose self-sufficiency as the core spiritual problem beneath surface behaviors.</w:t>
      </w:r>
    </w:p>
    <w:p>
      <w:r>
        <w:pict>
          <v:rect style="width:0;height:1.5pt" o:hralign="center" o:hrstd="t" o:hr="t"/>
        </w:pict>
      </w:r>
    </w:p>
    <w:p>
      <w:pPr>
        <w:pStyle w:val="FirstParagraph"/>
      </w:pPr>
      <w:r>
        <w:rPr>
          <w:b/>
          <w:bCs/>
        </w:rPr>
        <w:t xml:space="preserve">Aim:</w:t>
      </w:r>
      <w:r>
        <w:t xml:space="preserve"> </w:t>
      </w:r>
      <w:r>
        <w:t xml:space="preserve">To expose the layers of worldliness — in conflict, speech, and planning — operating beneath the readers’ religiosity, and to drive them toward the crisis of repentance and the posture of humble dependence where God’s grace flows freely.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Rhetorical question: source of fights and quarrels is internal desires (</w:t>
            </w:r>
            <w:r>
              <w:rPr>
                <w:i/>
                <w:iCs/>
              </w:rPr>
              <w:t xml:space="preserve">hedonai</w:t>
            </w:r>
            <w:r>
              <w:t xml:space="preserve">) warring in the members</w:t>
            </w:r>
          </w:p>
        </w:tc>
        <w:tc>
          <w:tcPr/>
          <w:p>
            <w:pPr>
              <w:pStyle w:val="Compact"/>
            </w:pPr>
            <w:r>
              <w:t xml:space="preserve">“Wars”</w:t>
            </w:r>
            <w:r>
              <w:t xml:space="preserve"> </w:t>
            </w:r>
            <w:r>
              <w:t xml:space="preserve">and</w:t>
            </w:r>
            <w:r>
              <w:t xml:space="preserve"> </w:t>
            </w:r>
            <w:r>
              <w:t xml:space="preserve">“battles”</w:t>
            </w:r>
            <w:r>
              <w:t xml:space="preserve"> </w:t>
            </w:r>
            <w:r>
              <w:t xml:space="preserve">— military language applied to internal community life</w:t>
            </w:r>
          </w:p>
        </w:tc>
      </w:tr>
      <w:tr>
        <w:tc>
          <w:tcPr/>
          <w:p>
            <w:pPr>
              <w:pStyle w:val="Compact"/>
            </w:pPr>
            <w:r>
              <w:t xml:space="preserve">4:2a</w:t>
            </w:r>
          </w:p>
        </w:tc>
        <w:tc>
          <w:tcPr/>
          <w:p>
            <w:pPr>
              <w:pStyle w:val="Compact"/>
            </w:pPr>
            <w:r>
              <w:t xml:space="preserve">Desire leads to murder (or envy); coveting without obtaining leads to fighting</w:t>
            </w:r>
          </w:p>
        </w:tc>
        <w:tc>
          <w:tcPr/>
          <w:p>
            <w:pPr>
              <w:pStyle w:val="Compact"/>
            </w:pPr>
            <w:r>
              <w:t xml:space="preserve">“Murder”</w:t>
            </w:r>
            <w:r>
              <w:t xml:space="preserve"> </w:t>
            </w:r>
            <w:r>
              <w:t xml:space="preserve">(</w:t>
            </w:r>
            <w:r>
              <w:rPr>
                <w:i/>
                <w:iCs/>
              </w:rPr>
              <w:t xml:space="preserve">phoneuete</w:t>
            </w:r>
            <w:r>
              <w:t xml:space="preserve">) is debated — may be hyperbole for murderous anger, or literal; either way, the root is ungoverned desire</w:t>
            </w:r>
          </w:p>
        </w:tc>
      </w:tr>
      <w:tr>
        <w:tc>
          <w:tcPr/>
          <w:p>
            <w:pPr>
              <w:pStyle w:val="Compact"/>
            </w:pPr>
            <w:r>
              <w:t xml:space="preserve">4:2b</w:t>
            </w:r>
          </w:p>
        </w:tc>
        <w:tc>
          <w:tcPr/>
          <w:p>
            <w:pPr>
              <w:pStyle w:val="Compact"/>
            </w:pPr>
            <w:r>
              <w:t xml:space="preserve">You do not have because you do not ask</w:t>
            </w:r>
          </w:p>
        </w:tc>
        <w:tc>
          <w:tcPr/>
          <w:p>
            <w:pPr>
              <w:pStyle w:val="Compact"/>
            </w:pPr>
            <w:r>
              <w:t xml:space="preserve">Prayerlessness as a form of practical self-sufficiency</w:t>
            </w:r>
          </w:p>
        </w:tc>
      </w:tr>
      <w:tr>
        <w:tc>
          <w:tcPr/>
          <w:p>
            <w:pPr>
              <w:pStyle w:val="Compact"/>
            </w:pPr>
            <w:r>
              <w:t xml:space="preserve">4:3</w:t>
            </w:r>
          </w:p>
        </w:tc>
        <w:tc>
          <w:tcPr/>
          <w:p>
            <w:pPr>
              <w:pStyle w:val="Compact"/>
            </w:pPr>
            <w:r>
              <w:t xml:space="preserve">You ask and do not receive because you ask wrongly — to spend on your own pleasures</w:t>
            </w:r>
          </w:p>
        </w:tc>
        <w:tc>
          <w:tcPr/>
          <w:p>
            <w:pPr>
              <w:pStyle w:val="Compact"/>
            </w:pPr>
            <w:r>
              <w:t xml:space="preserve">Wrong motive corrupts even prayer</w:t>
            </w:r>
          </w:p>
        </w:tc>
      </w:tr>
      <w:tr>
        <w:tc>
          <w:tcPr/>
          <w:p>
            <w:pPr>
              <w:pStyle w:val="Compact"/>
            </w:pPr>
            <w:r>
              <w:t xml:space="preserve">4:4</w:t>
            </w:r>
          </w:p>
        </w:tc>
        <w:tc>
          <w:tcPr/>
          <w:p>
            <w:pPr>
              <w:pStyle w:val="Compact"/>
            </w:pPr>
            <w:r>
              <w:t xml:space="preserve">Adulteresses! Friendship with the world is enmity with God; you cannot befriend both</w:t>
            </w:r>
          </w:p>
        </w:tc>
        <w:tc>
          <w:tcPr/>
          <w:p>
            <w:pPr>
              <w:pStyle w:val="Compact"/>
            </w:pPr>
            <w:r>
              <w:t xml:space="preserve">The sharpest charge in the letter — covenantal adultery; binary opposition: world or God</w:t>
            </w:r>
          </w:p>
        </w:tc>
      </w:tr>
      <w:tr>
        <w:tc>
          <w:tcPr/>
          <w:p>
            <w:pPr>
              <w:pStyle w:val="Compact"/>
            </w:pPr>
            <w:r>
              <w:t xml:space="preserve">4:5</w:t>
            </w:r>
          </w:p>
        </w:tc>
        <w:tc>
          <w:tcPr/>
          <w:p>
            <w:pPr>
              <w:pStyle w:val="Compact"/>
            </w:pPr>
            <w:r>
              <w:t xml:space="preserve">“The Spirit that dwells in us yearns jealously”</w:t>
            </w:r>
            <w:r>
              <w:t xml:space="preserve"> </w:t>
            </w:r>
            <w:r>
              <w:t xml:space="preserve">— a quotation, source uncertain</w:t>
            </w:r>
          </w:p>
        </w:tc>
        <w:tc>
          <w:tcPr/>
          <w:p>
            <w:pPr>
              <w:pStyle w:val="Compact"/>
            </w:pPr>
            <w:r>
              <w:t xml:space="preserve">God’s jealousy for exclusive covenant allegiance; the Spirit’s presence makes the adultery more, not less, serious</w:t>
            </w:r>
          </w:p>
        </w:tc>
      </w:tr>
      <w:tr>
        <w:tc>
          <w:tcPr/>
          <w:p>
            <w:pPr>
              <w:pStyle w:val="Compact"/>
            </w:pPr>
            <w:r>
              <w:t xml:space="preserve">4:6</w:t>
            </w:r>
          </w:p>
        </w:tc>
        <w:tc>
          <w:tcPr/>
          <w:p>
            <w:pPr>
              <w:pStyle w:val="Compact"/>
            </w:pPr>
            <w:r>
              <w:t xml:space="preserve">“But He gives more grace”</w:t>
            </w:r>
            <w:r>
              <w:t xml:space="preserve"> </w:t>
            </w:r>
            <w:r>
              <w:t xml:space="preserve">— quotation of Proverbs 3:34: God opposes the proud, gives grace to the humble</w:t>
            </w:r>
          </w:p>
        </w:tc>
        <w:tc>
          <w:tcPr/>
          <w:p>
            <w:pPr>
              <w:pStyle w:val="Compact"/>
            </w:pPr>
            <w:r>
              <w:t xml:space="preserve">Grace precedes and enables all that follows; the turn from diagnosis to remedy</w:t>
            </w:r>
          </w:p>
        </w:tc>
      </w:tr>
      <w:tr>
        <w:tc>
          <w:tcPr/>
          <w:p>
            <w:pPr>
              <w:pStyle w:val="Compact"/>
            </w:pPr>
            <w:r>
              <w:t xml:space="preserve">4:7</w:t>
            </w:r>
          </w:p>
        </w:tc>
        <w:tc>
          <w:tcPr/>
          <w:p>
            <w:pPr>
              <w:pStyle w:val="Compact"/>
            </w:pPr>
            <w:r>
              <w:t xml:space="preserve">“Submit to God. Resist the devil and he will flee from you.”</w:t>
            </w:r>
          </w:p>
        </w:tc>
        <w:tc>
          <w:tcPr/>
          <w:p>
            <w:pPr>
              <w:pStyle w:val="Compact"/>
            </w:pPr>
            <w:r>
              <w:t xml:space="preserve">First pair of imperatives: vertical submission and active spiritual resistance</w:t>
            </w:r>
          </w:p>
        </w:tc>
      </w:tr>
      <w:tr>
        <w:tc>
          <w:tcPr/>
          <w:p>
            <w:pPr>
              <w:pStyle w:val="Compact"/>
            </w:pPr>
            <w:r>
              <w:t xml:space="preserve">4:8</w:t>
            </w:r>
          </w:p>
        </w:tc>
        <w:tc>
          <w:tcPr/>
          <w:p>
            <w:pPr>
              <w:pStyle w:val="Compact"/>
            </w:pPr>
            <w:r>
              <w:t xml:space="preserve">“Draw near to God and He will draw near to you. Cleanse your hands, you sinners; purify your hearts, you double-minded.”</w:t>
            </w:r>
          </w:p>
        </w:tc>
        <w:tc>
          <w:tcPr/>
          <w:p>
            <w:pPr>
              <w:pStyle w:val="Compact"/>
            </w:pPr>
            <w:r>
              <w:t xml:space="preserve">Second movement: God’s reciprocal nearness is promised; cleansing is the external; purity is the internal;</w:t>
            </w:r>
            <w:r>
              <w:t xml:space="preserve"> </w:t>
            </w:r>
            <w:r>
              <w:t xml:space="preserve">“double-minded”</w:t>
            </w:r>
            <w:r>
              <w:t xml:space="preserve"> </w:t>
            </w:r>
            <w:r>
              <w:t xml:space="preserve">(</w:t>
            </w:r>
            <w:r>
              <w:rPr>
                <w:i/>
                <w:iCs/>
              </w:rPr>
              <w:t xml:space="preserve">dipsychos</w:t>
            </w:r>
            <w:r>
              <w:t xml:space="preserve">) — split allegiance</w:t>
            </w:r>
          </w:p>
        </w:tc>
      </w:tr>
      <w:tr>
        <w:tc>
          <w:tcPr/>
          <w:p>
            <w:pPr>
              <w:pStyle w:val="Compact"/>
            </w:pPr>
            <w:r>
              <w:t xml:space="preserve">4:9</w:t>
            </w:r>
          </w:p>
        </w:tc>
        <w:tc>
          <w:tcPr/>
          <w:p>
            <w:pPr>
              <w:pStyle w:val="Compact"/>
            </w:pPr>
            <w:r>
              <w:t xml:space="preserve">“Be wretched and mourn and weep. Let your laughter be turned to mourning and your joy to gloom.”</w:t>
            </w:r>
          </w:p>
        </w:tc>
        <w:tc>
          <w:tcPr/>
          <w:p>
            <w:pPr>
              <w:pStyle w:val="Compact"/>
            </w:pPr>
            <w:r>
              <w:t xml:space="preserve">Not asceticism — the grief of genuine repentance; contra cheap, painless</w:t>
            </w:r>
            <w:r>
              <w:t xml:space="preserve"> </w:t>
            </w:r>
            <w:r>
              <w:t xml:space="preserve">“recommitment”</w:t>
            </w:r>
          </w:p>
        </w:tc>
      </w:tr>
      <w:tr>
        <w:tc>
          <w:tcPr/>
          <w:p>
            <w:pPr>
              <w:pStyle w:val="Compact"/>
            </w:pPr>
            <w:r>
              <w:t xml:space="preserve">4:10</w:t>
            </w:r>
          </w:p>
        </w:tc>
        <w:tc>
          <w:tcPr/>
          <w:p>
            <w:pPr>
              <w:pStyle w:val="Compact"/>
            </w:pPr>
            <w:r>
              <w:t xml:space="preserve">“Humble yourselves before the Lord and He will exalt you.”</w:t>
            </w:r>
          </w:p>
        </w:tc>
        <w:tc>
          <w:tcPr/>
          <w:p>
            <w:pPr>
              <w:pStyle w:val="Compact"/>
            </w:pPr>
            <w:r>
              <w:t xml:space="preserve">The capstone of the repentance sequence; humility is the posture, exaltation is God’s act</w:t>
            </w:r>
          </w:p>
        </w:tc>
      </w:tr>
      <w:tr>
        <w:tc>
          <w:tcPr/>
          <w:p>
            <w:pPr>
              <w:pStyle w:val="Compact"/>
            </w:pPr>
            <w:r>
              <w:t xml:space="preserve">4:11</w:t>
            </w:r>
          </w:p>
        </w:tc>
        <w:tc>
          <w:tcPr/>
          <w:p>
            <w:pPr>
              <w:pStyle w:val="Compact"/>
            </w:pPr>
            <w:r>
              <w:t xml:space="preserve">Prohibition on speaking evil against a brother; to judge a brother is to judge the Law</w:t>
            </w:r>
          </w:p>
        </w:tc>
        <w:tc>
          <w:tcPr/>
          <w:p>
            <w:pPr>
              <w:pStyle w:val="Compact"/>
            </w:pPr>
            <w:r>
              <w:t xml:space="preserve">Slander as law-violation — the one who judges the Law presumes to stand above it</w:t>
            </w:r>
          </w:p>
        </w:tc>
      </w:tr>
      <w:tr>
        <w:tc>
          <w:tcPr/>
          <w:p>
            <w:pPr>
              <w:pStyle w:val="Compact"/>
            </w:pPr>
            <w:r>
              <w:t xml:space="preserve">4:12</w:t>
            </w:r>
          </w:p>
        </w:tc>
        <w:tc>
          <w:tcPr/>
          <w:p>
            <w:pPr>
              <w:pStyle w:val="Compact"/>
            </w:pPr>
            <w:r>
              <w:t xml:space="preserve">Only one Lawgiver and Judge — able to save and destroy;</w:t>
            </w:r>
            <w:r>
              <w:t xml:space="preserve"> </w:t>
            </w:r>
            <w:r>
              <w:t xml:space="preserve">“who are you to judge your neighbor?”</w:t>
            </w:r>
          </w:p>
        </w:tc>
        <w:tc>
          <w:tcPr/>
          <w:p>
            <w:pPr>
              <w:pStyle w:val="Compact"/>
            </w:pPr>
            <w:r>
              <w:t xml:space="preserve">The basis of the prohibition is God’s unique judicial authority; rhetorical question lands the verdict</w:t>
            </w:r>
          </w:p>
        </w:tc>
      </w:tr>
      <w:tr>
        <w:tc>
          <w:tcPr/>
          <w:p>
            <w:pPr>
              <w:pStyle w:val="Compact"/>
            </w:pPr>
            <w:r>
              <w:t xml:space="preserve">4:13</w:t>
            </w:r>
          </w:p>
        </w:tc>
        <w:tc>
          <w:tcPr/>
          <w:p>
            <w:pPr>
              <w:pStyle w:val="Compact"/>
            </w:pPr>
            <w:r>
              <w:t xml:space="preserve">“Come now, you who say</w:t>
            </w:r>
            <w:r>
              <w:t xml:space="preserve"> </w:t>
            </w:r>
            <w:r>
              <w:t xml:space="preserve">‘Today or tomorrow we will go to this city...’</w:t>
            </w:r>
            <w:r>
              <w:t xml:space="preserve">”</w:t>
            </w:r>
          </w:p>
        </w:tc>
        <w:tc>
          <w:tcPr/>
          <w:p>
            <w:pPr>
              <w:pStyle w:val="Compact"/>
            </w:pPr>
            <w:r>
              <w:t xml:space="preserve">Prophetic address (</w:t>
            </w:r>
            <w:r>
              <w:rPr>
                <w:i/>
                <w:iCs/>
              </w:rPr>
              <w:t xml:space="preserve">age nyn</w:t>
            </w:r>
            <w:r>
              <w:t xml:space="preserve">) — same as 5:1; the boast of autonomous planning</w:t>
            </w:r>
          </w:p>
        </w:tc>
      </w:tr>
      <w:tr>
        <w:tc>
          <w:tcPr/>
          <w:p>
            <w:pPr>
              <w:pStyle w:val="Compact"/>
            </w:pPr>
            <w:r>
              <w:t xml:space="preserve">4:14</w:t>
            </w:r>
          </w:p>
        </w:tc>
        <w:tc>
          <w:tcPr/>
          <w:p>
            <w:pPr>
              <w:pStyle w:val="Compact"/>
            </w:pPr>
            <w:r>
              <w:t xml:space="preserve">“You do not know what tomorrow will bring. What is your life? You are a mist.”</w:t>
            </w:r>
          </w:p>
        </w:tc>
        <w:tc>
          <w:tcPr/>
          <w:p>
            <w:pPr>
              <w:pStyle w:val="Compact"/>
            </w:pPr>
            <w:r>
              <w:t xml:space="preserve">Radical creatureliness — the planner cannot control what they cannot predict; vapor/mist (</w:t>
            </w:r>
            <w:r>
              <w:rPr>
                <w:i/>
                <w:iCs/>
              </w:rPr>
              <w:t xml:space="preserve">atmis</w:t>
            </w:r>
            <w:r>
              <w:t xml:space="preserve">) imagery</w:t>
            </w:r>
          </w:p>
        </w:tc>
      </w:tr>
      <w:tr>
        <w:tc>
          <w:tcPr/>
          <w:p>
            <w:pPr>
              <w:pStyle w:val="Compact"/>
            </w:pPr>
            <w:r>
              <w:t xml:space="preserve">4:15</w:t>
            </w:r>
          </w:p>
        </w:tc>
        <w:tc>
          <w:tcPr/>
          <w:p>
            <w:pPr>
              <w:pStyle w:val="Compact"/>
            </w:pPr>
            <w:r>
              <w:t xml:space="preserve">“Instead you ought to say,</w:t>
            </w:r>
            <w:r>
              <w:t xml:space="preserve"> </w:t>
            </w:r>
            <w:r>
              <w:t xml:space="preserve">‘If the Lord wills, we will live and do this or that.’</w:t>
            </w:r>
            <w:r>
              <w:t xml:space="preserve">”</w:t>
            </w:r>
          </w:p>
        </w:tc>
        <w:tc>
          <w:tcPr/>
          <w:p>
            <w:pPr>
              <w:pStyle w:val="Compact"/>
            </w:pPr>
            <w:r>
              <w:t xml:space="preserve">The corrective: contingency language (</w:t>
            </w:r>
            <w:r>
              <w:rPr>
                <w:i/>
                <w:iCs/>
              </w:rPr>
              <w:t xml:space="preserve">ean ho Kyrios thelēsē</w:t>
            </w:r>
            <w:r>
              <w:t xml:space="preserve">); not passive fatalism but theocentric planning</w:t>
            </w:r>
          </w:p>
        </w:tc>
      </w:tr>
      <w:tr>
        <w:tc>
          <w:tcPr/>
          <w:p>
            <w:pPr>
              <w:pStyle w:val="Compact"/>
            </w:pPr>
            <w:r>
              <w:t xml:space="preserve">4:16</w:t>
            </w:r>
          </w:p>
        </w:tc>
        <w:tc>
          <w:tcPr/>
          <w:p>
            <w:pPr>
              <w:pStyle w:val="Compact"/>
            </w:pPr>
            <w:r>
              <w:t xml:space="preserve">“As it is, you boast in your arrogance. All such boasting is evil.”</w:t>
            </w:r>
          </w:p>
        </w:tc>
        <w:tc>
          <w:tcPr/>
          <w:p>
            <w:pPr>
              <w:pStyle w:val="Compact"/>
            </w:pPr>
            <w:r>
              <w:t xml:space="preserve">The boast itself (</w:t>
            </w:r>
            <w:r>
              <w:rPr>
                <w:i/>
                <w:iCs/>
              </w:rPr>
              <w:t xml:space="preserve">alazoneia</w:t>
            </w:r>
            <w:r>
              <w:t xml:space="preserve"> </w:t>
            </w:r>
            <w:r>
              <w:t xml:space="preserve">— arrogance, bluster) is sin; it excludes God from the frame</w:t>
            </w:r>
          </w:p>
        </w:tc>
      </w:tr>
      <w:tr>
        <w:tc>
          <w:tcPr/>
          <w:p>
            <w:pPr>
              <w:pStyle w:val="Compact"/>
            </w:pPr>
            <w:r>
              <w:t xml:space="preserve">4:17</w:t>
            </w:r>
          </w:p>
        </w:tc>
        <w:tc>
          <w:tcPr/>
          <w:p>
            <w:pPr>
              <w:pStyle w:val="Compact"/>
            </w:pPr>
            <w:r>
              <w:t xml:space="preserve">“So whoever knows the right thing to do and fails to do it, for him it is sin.”</w:t>
            </w:r>
          </w:p>
        </w:tc>
        <w:tc>
          <w:tcPr/>
          <w:p>
            <w:pPr>
              <w:pStyle w:val="Compact"/>
            </w:pPr>
            <w:r>
              <w:t xml:space="preserve">Concluding principle: sins of omission; knowledge creates obligation; a capstone for the whole chapter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4:1–3</w:t>
            </w:r>
          </w:p>
        </w:tc>
        <w:tc>
          <w:tcPr/>
          <w:p>
            <w:pPr>
              <w:pStyle w:val="Compact"/>
            </w:pPr>
            <w:r>
              <w:t xml:space="preserve">The Source: Disordered Desires Producing Conflict and Corrupt Prayer</w:t>
            </w:r>
          </w:p>
        </w:tc>
      </w:tr>
      <w:tr>
        <w:tc>
          <w:tcPr/>
          <w:p>
            <w:pPr>
              <w:pStyle w:val="Compact"/>
            </w:pPr>
            <w:r>
              <w:t xml:space="preserve">2</w:t>
            </w:r>
          </w:p>
        </w:tc>
        <w:tc>
          <w:tcPr/>
          <w:p>
            <w:pPr>
              <w:pStyle w:val="Compact"/>
            </w:pPr>
            <w:r>
              <w:t xml:space="preserve">4:4–6</w:t>
            </w:r>
          </w:p>
        </w:tc>
        <w:tc>
          <w:tcPr/>
          <w:p>
            <w:pPr>
              <w:pStyle w:val="Compact"/>
            </w:pPr>
            <w:r>
              <w:t xml:space="preserve">The Diagnosis: Friendship with the World is Adultery Against God</w:t>
            </w:r>
          </w:p>
        </w:tc>
      </w:tr>
      <w:tr>
        <w:tc>
          <w:tcPr/>
          <w:p>
            <w:pPr>
              <w:pStyle w:val="Compact"/>
            </w:pPr>
            <w:r>
              <w:t xml:space="preserve">3</w:t>
            </w:r>
          </w:p>
        </w:tc>
        <w:tc>
          <w:tcPr/>
          <w:p>
            <w:pPr>
              <w:pStyle w:val="Compact"/>
            </w:pPr>
            <w:r>
              <w:t xml:space="preserve">4:7–10</w:t>
            </w:r>
          </w:p>
        </w:tc>
        <w:tc>
          <w:tcPr/>
          <w:p>
            <w:pPr>
              <w:pStyle w:val="Compact"/>
            </w:pPr>
            <w:r>
              <w:t xml:space="preserve">The Remedy: Seven Imperatives of Grace-Enabled Repentance</w:t>
            </w:r>
          </w:p>
        </w:tc>
      </w:tr>
      <w:tr>
        <w:tc>
          <w:tcPr/>
          <w:p>
            <w:pPr>
              <w:pStyle w:val="Compact"/>
            </w:pPr>
            <w:r>
              <w:t xml:space="preserve">4</w:t>
            </w:r>
          </w:p>
        </w:tc>
        <w:tc>
          <w:tcPr/>
          <w:p>
            <w:pPr>
              <w:pStyle w:val="Compact"/>
            </w:pPr>
            <w:r>
              <w:t xml:space="preserve">4:11–12</w:t>
            </w:r>
          </w:p>
        </w:tc>
        <w:tc>
          <w:tcPr/>
          <w:p>
            <w:pPr>
              <w:pStyle w:val="Compact"/>
            </w:pPr>
            <w:r>
              <w:t xml:space="preserve">The Speech Indictment: Slander as Usurpation of God’s Judicial Authority</w:t>
            </w:r>
          </w:p>
        </w:tc>
      </w:tr>
      <w:tr>
        <w:tc>
          <w:tcPr/>
          <w:p>
            <w:pPr>
              <w:pStyle w:val="Compact"/>
            </w:pPr>
            <w:r>
              <w:t xml:space="preserve">5</w:t>
            </w:r>
          </w:p>
        </w:tc>
        <w:tc>
          <w:tcPr/>
          <w:p>
            <w:pPr>
              <w:pStyle w:val="Compact"/>
            </w:pPr>
            <w:r>
              <w:t xml:space="preserve">4:13–16</w:t>
            </w:r>
          </w:p>
        </w:tc>
        <w:tc>
          <w:tcPr/>
          <w:p>
            <w:pPr>
              <w:pStyle w:val="Compact"/>
            </w:pPr>
            <w:r>
              <w:t xml:space="preserve">The Planning Indictment: Autonomous Boasting as Practical Atheism</w:t>
            </w:r>
          </w:p>
        </w:tc>
      </w:tr>
      <w:tr>
        <w:tc>
          <w:tcPr/>
          <w:p>
            <w:pPr>
              <w:pStyle w:val="Compact"/>
            </w:pPr>
            <w:r>
              <w:t xml:space="preserve">6</w:t>
            </w:r>
          </w:p>
        </w:tc>
        <w:tc>
          <w:tcPr/>
          <w:p>
            <w:pPr>
              <w:pStyle w:val="Compact"/>
            </w:pPr>
            <w:r>
              <w:t xml:space="preserve">4:17</w:t>
            </w:r>
          </w:p>
        </w:tc>
        <w:tc>
          <w:tcPr/>
          <w:p>
            <w:pPr>
              <w:pStyle w:val="Compact"/>
            </w:pPr>
            <w:r>
              <w:t xml:space="preserve">The Capstone Principle: Knowing and Not Doing is Sin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Worldliness is covenant adultery; God gives grace only to the humble who return.</w:t>
      </w:r>
    </w:p>
    <w:p>
      <w:pPr>
        <w:pStyle w:val="BodyText"/>
      </w:pPr>
      <w:r>
        <w:rPr>
          <w:b/>
          <w:bCs/>
        </w:rPr>
        <w:t xml:space="preserve">Primary Claim:</w:t>
      </w:r>
      <w:r>
        <w:t xml:space="preserve"> </w:t>
      </w:r>
      <w:r>
        <w:t xml:space="preserve">God is confronting the community’s love affair with worldly self-sufficiency — in its conflicts, its speech, and its plans — calling every member to the crisis of repentance and the posture of humble dependence, where grace is received and God draws near.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Trace your conflicts back to their interior source.</w:t>
      </w:r>
      <w:r>
        <w:t xml:space="preserve"> </w:t>
      </w:r>
      <w:r>
        <w:rPr>
          <w:i/>
          <w:iCs/>
        </w:rPr>
        <w:t xml:space="preserve">(Mind/Belief)</w:t>
      </w:r>
      <w:r>
        <w:t xml:space="preserve"> </w:t>
      </w:r>
      <w:r>
        <w:t xml:space="preserve">James will not allow you to locate the cause of your relational strife in what others have done to you. The diagnostic question this passage requires you to ask is: what do I want that I am not getting, and what am I willing to do to get it? The desires (</w:t>
      </w:r>
      <w:r>
        <w:rPr>
          <w:i/>
          <w:iCs/>
        </w:rPr>
        <w:t xml:space="preserve">hedonai</w:t>
      </w:r>
      <w:r>
        <w:t xml:space="preserve">) warring in your members are the engine of your conflicts — not your circumstances, not your difficult people, not your impossible situation. Until you are willing to name the idol beneath the conflict, you will manage symptoms while the root goes untouched. Sit with the question: what does this fight reveal about what I love?</w:t>
      </w:r>
    </w:p>
    <w:p>
      <w:pPr>
        <w:pStyle w:val="BodyText"/>
      </w:pPr>
      <w:r>
        <w:rPr>
          <w:b/>
          <w:bCs/>
        </w:rPr>
        <w:t xml:space="preserve">2. Examine whether God is genuinely in your prayers or merely being recruited.</w:t>
      </w:r>
      <w:r>
        <w:t xml:space="preserve"> </w:t>
      </w:r>
      <w:r>
        <w:rPr>
          <w:i/>
          <w:iCs/>
        </w:rPr>
        <w:t xml:space="preserve">(Mind/Belief)</w:t>
      </w:r>
      <w:r>
        <w:t xml:space="preserve"> </w:t>
      </w:r>
      <w:r>
        <w:t xml:space="preserve">James identifies two forms of prayerlessness: not praying at all (v. 2), and praying with entirely self-serving motives (v. 3). Both exclude God from His proper place. The corrective is not praying harder but praying honestly — bringing what you actually want before God and asking whether what you want is what God is after in your situation. Prayers that function as delivery orders — God as fulfillment service for self-determined desires — are not prayer in James’s sense. Ask: when I pray, am I seeking God, or am I seeking outcomes God can provide?</w:t>
      </w:r>
    </w:p>
    <w:p>
      <w:pPr>
        <w:pStyle w:val="BodyText"/>
      </w:pPr>
      <w:r>
        <w:rPr>
          <w:b/>
          <w:bCs/>
        </w:rPr>
        <w:t xml:space="preserve">3. Feel the weight of the covenant adultery charge.</w:t>
      </w:r>
      <w:r>
        <w:t xml:space="preserve"> </w:t>
      </w:r>
      <w:r>
        <w:rPr>
          <w:i/>
          <w:iCs/>
        </w:rPr>
        <w:t xml:space="preserve">(Affections/Worship)</w:t>
      </w:r>
      <w:r>
        <w:t xml:space="preserve"> </w:t>
      </w:r>
      <w:r>
        <w:t xml:space="preserve">James does not call divided loyalty a weakness or a struggle — he calls it adultery (</w:t>
      </w:r>
      <w:r>
        <w:rPr>
          <w:i/>
          <w:iCs/>
        </w:rPr>
        <w:t xml:space="preserve">moichalides</w:t>
      </w:r>
      <w:r>
        <w:t xml:space="preserve">). This is not pastoral gentleness; it is prophetic precision. The appropriate response to this charge is not to manage it or soften it but to feel its weight. The Holy Spirit who dwells in you is not indifferent to your allegiances — He is jealous (v. 5). Where have you been living in functional betrayal — treating God as one loyalty among several, fitting Him into a life largely organized around other loves? Let the charge land before you rush to resolve it.</w:t>
      </w:r>
    </w:p>
    <w:p>
      <w:pPr>
        <w:pStyle w:val="BodyText"/>
      </w:pPr>
      <w:r>
        <w:rPr>
          <w:b/>
          <w:bCs/>
        </w:rPr>
        <w:t xml:space="preserve">4. Move through the full sequence of repentance, not a shortcut version.</w:t>
      </w:r>
      <w:r>
        <w:t xml:space="preserve"> </w:t>
      </w:r>
      <w:r>
        <w:rPr>
          <w:i/>
          <w:iCs/>
        </w:rPr>
        <w:t xml:space="preserve">(Will/Behavior)</w:t>
      </w:r>
      <w:r>
        <w:t xml:space="preserve"> </w:t>
      </w:r>
      <w:r>
        <w:t xml:space="preserve">James gives seven imperatives in vv. 7–10, and the order matters: submit, resist, draw near, cleanse, purify, mourn, humble yourself. This is not a checklist to perform but a description of what genuine repentance looks like when it moves through a person. The temptation is to take a shorter path — a quick mental acknowledgment, a brief prayer, a return to normal — without the mourning and grief that v. 9 demands. If your repentance never costs you anything emotionally, examine whether you have actually reckoned with what your worldliness is doing to your relationship with the God who calls it adultery. This week, do not rush through contrition on your way back to comfort.</w:t>
      </w:r>
    </w:p>
    <w:p>
      <w:pPr>
        <w:pStyle w:val="BodyText"/>
      </w:pPr>
      <w:r>
        <w:rPr>
          <w:b/>
          <w:bCs/>
        </w:rPr>
        <w:t xml:space="preserve">5. Audit your plans for the implicit assumption that the future is yours to command.</w:t>
      </w:r>
      <w:r>
        <w:t xml:space="preserve"> </w:t>
      </w:r>
      <w:r>
        <w:rPr>
          <w:i/>
          <w:iCs/>
        </w:rPr>
        <w:t xml:space="preserve">(Will/Behavior)</w:t>
      </w:r>
      <w:r>
        <w:t xml:space="preserve"> </w:t>
      </w:r>
      <w:r>
        <w:t xml:space="preserve">The merchants of vv. 13–16 are not condemned for planning — they are condemned for planning as though God does not exist, as though the future is a resource they own. The audit question is not</w:t>
      </w:r>
      <w:r>
        <w:t xml:space="preserve"> </w:t>
      </w:r>
      <w:r>
        <w:t xml:space="preserve">“did you make a plan?”</w:t>
      </w:r>
      <w:r>
        <w:t xml:space="preserve"> </w:t>
      </w:r>
      <w:r>
        <w:t xml:space="preserve">but</w:t>
      </w:r>
      <w:r>
        <w:t xml:space="preserve"> </w:t>
      </w:r>
      <w:r>
        <w:t xml:space="preserve">“does your plan have room for God to redirect it?”</w:t>
      </w:r>
      <w:r>
        <w:t xml:space="preserve"> </w:t>
      </w:r>
      <w:r>
        <w:t xml:space="preserve">The phrase</w:t>
      </w:r>
      <w:r>
        <w:t xml:space="preserve"> </w:t>
      </w:r>
      <w:r>
        <w:t xml:space="preserve">“if the Lord wills”</w:t>
      </w:r>
      <w:r>
        <w:t xml:space="preserve"> </w:t>
      </w:r>
      <w:r>
        <w:t xml:space="preserve">(v. 15) is not a verbal tic to attach to sentences — it is a posture toward the future, an acknowledgment that tomorrow is a gift, not a possession. Identify one area of your life — professional, financial, relational — where you are currently treating the future as secured territory rather than received gift, and bring it explicitly under the Lordship of Christ.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James 4 makes a claim about the nature of worldliness that cuts beneath behavioral categories: it is not primarily a set of sinful actions but a disordered allegiance — the human heart’s tendency to organize itself around self-sourced desires rather than God’s sovereign provision and covenant claim. The chapter teaches that God is not passive before this idolatry — He opposes the proud (v. 6), which means He actively works against the orientation that excludes Him. Simultaneously, the passage displays God’s grace in its fullest covenantal force: the same God who diagnoses adultery also promises to draw near to those who draw near to Him (v. 8) and to exalt those who humble themselves (v. 10). God’s jealousy is not vindictive but restorative — the posture of the covenant Lord who will not cede His people to a rival without calling them back. The passage also teaches that knowledge creates obligation (v. 17), which grounds the entire chapter’s application in a theology of moral responsibility: James will not allow ignorance as an exit from accountability.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James 4 is a sustained exposition of what Reformed theology identifies as</w:t>
      </w:r>
      <w:r>
        <w:t xml:space="preserve"> </w:t>
      </w:r>
      <w:r>
        <w:rPr>
          <w:i/>
          <w:iCs/>
        </w:rPr>
        <w:t xml:space="preserve">coram Deo</w:t>
      </w:r>
      <w:r>
        <w:t xml:space="preserve"> </w:t>
      </w:r>
      <w:r>
        <w:t xml:space="preserve">— all of life lived consciously before the face of God. The chapter’s three domains of indictment (conflicted desires, slanderous speech, autonomous planning) are three expressions of the same root failure: life operated outside the acknowledging presence of God. The Reformed tradition’s emphasis on total depravity is not merely about moral catastrophe but about the pervasive tendency of the fallen will to position itself as its own center — and James exposes this tendency operating even within the covenant community. The promise that</w:t>
      </w:r>
      <w:r>
        <w:t xml:space="preserve"> </w:t>
      </w:r>
      <w:r>
        <w:t xml:space="preserve">“God gives grace to the humble”</w:t>
      </w:r>
      <w:r>
        <w:t xml:space="preserve"> </w:t>
      </w:r>
      <w:r>
        <w:t xml:space="preserve">(v. 6, Proverbs 3:34) is a covenantal axiom: grace is not distributed on the basis of merit or effort but given to those who have abandoned self-sufficiency as their strategy. This is not works-righteousness dressed in the language of humility — it is the gospel’s insistence that the only posture in which grace can be received is the posture that has stopped grasping. The imperatives of vv. 7–10 are therefore not a sanctification ladder but the shape of ongoing gospel repentance — the same repentance that receives justification, now applied to the daily conflicts, speech, and plans of the justified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conflict, your slander, and your autonomous planning are not separate problems requiring separate solutions — they are the same problem wearing different clothes: you are living as though God is not your Lord, your Provider, and your Judge. James is not writing to pagans; he is writing to the covenant community — to people who believe the right things and are living the wrong way. The way back is not trying harder; it is humbling yourself before the Lord who opposes the proud and gives grace — lavishly, freely — to the humble. Draw near to Him, and He will draw near to you. That is not a program. That is a promise.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seven imperatives of vv. 7–10 as a spiritual self-improvement program.</w:t>
      </w:r>
      <w:r>
        <w:t xml:space="preserve"> </w:t>
      </w:r>
      <w:r>
        <w:t xml:space="preserve">The most common homiletical failure in this passage is to preach</w:t>
      </w:r>
      <w:r>
        <w:t xml:space="preserve"> </w:t>
      </w:r>
      <w:r>
        <w:t xml:space="preserve">“submit, resist, draw near, cleanse, purify, mourn, humble”</w:t>
      </w:r>
      <w:r>
        <w:t xml:space="preserve"> </w:t>
      </w:r>
      <w:r>
        <w:t xml:space="preserve">as seven steps the listener can execute through sufficient moral effort. James has already anchored the entire sequence in grace:</w:t>
      </w:r>
      <w:r>
        <w:t xml:space="preserve"> </w:t>
      </w:r>
      <w:r>
        <w:t xml:space="preserve">“God gives grace to the humble”</w:t>
      </w:r>
      <w:r>
        <w:t xml:space="preserve"> </w:t>
      </w:r>
      <w:r>
        <w:t xml:space="preserve">(v. 6) precedes all the imperatives. These imperatives describe the shape of grace-enabled repentance, not a sanctification protocol. If you preach this passage without the grace frame of v. 6 controlling the whole, you have turned a gospel call to repentance into a works program.</w:t>
      </w:r>
    </w:p>
    <w:p>
      <w:pPr>
        <w:numPr>
          <w:ilvl w:val="0"/>
          <w:numId w:val="1002"/>
        </w:numPr>
      </w:pPr>
      <w:r>
        <w:rPr>
          <w:b/>
          <w:bCs/>
        </w:rPr>
        <w:t xml:space="preserve">Softening</w:t>
      </w:r>
      <w:r>
        <w:rPr>
          <w:b/>
          <w:bCs/>
        </w:rPr>
        <w:t xml:space="preserve"> </w:t>
      </w:r>
      <w:r>
        <w:rPr>
          <w:b/>
          <w:bCs/>
        </w:rPr>
        <w:t xml:space="preserve">“adultery”</w:t>
      </w:r>
      <w:r>
        <w:rPr>
          <w:b/>
          <w:bCs/>
        </w:rPr>
        <w:t xml:space="preserve"> </w:t>
      </w:r>
      <w:r>
        <w:rPr>
          <w:b/>
          <w:bCs/>
        </w:rPr>
        <w:t xml:space="preserve">into</w:t>
      </w:r>
      <w:r>
        <w:rPr>
          <w:b/>
          <w:bCs/>
        </w:rPr>
        <w:t xml:space="preserve"> </w:t>
      </w:r>
      <w:r>
        <w:rPr>
          <w:b/>
          <w:bCs/>
        </w:rPr>
        <w:t xml:space="preserve">“compromise.”</w:t>
      </w:r>
      <w:r>
        <w:t xml:space="preserve"> </w:t>
      </w:r>
      <w:r>
        <w:t xml:space="preserve">James uses</w:t>
      </w:r>
      <w:r>
        <w:t xml:space="preserve"> </w:t>
      </w:r>
      <w:r>
        <w:rPr>
          <w:i/>
          <w:iCs/>
        </w:rPr>
        <w:t xml:space="preserve">moichalides</w:t>
      </w:r>
      <w:r>
        <w:t xml:space="preserve"> </w:t>
      </w:r>
      <w:r>
        <w:t xml:space="preserve">— adulteresses — not</w:t>
      </w:r>
      <w:r>
        <w:t xml:space="preserve"> </w:t>
      </w:r>
      <w:r>
        <w:t xml:space="preserve">“people struggling with balance.”</w:t>
      </w:r>
      <w:r>
        <w:t xml:space="preserve"> </w:t>
      </w:r>
      <w:r>
        <w:t xml:space="preserve">The shock of the charge is intentional and load-bearing. Softening it to</w:t>
      </w:r>
      <w:r>
        <w:t xml:space="preserve"> </w:t>
      </w:r>
      <w:r>
        <w:t xml:space="preserve">“spiritual compromise”</w:t>
      </w:r>
      <w:r>
        <w:t xml:space="preserve"> </w:t>
      </w:r>
      <w:r>
        <w:t xml:space="preserve">or</w:t>
      </w:r>
      <w:r>
        <w:t xml:space="preserve"> </w:t>
      </w:r>
      <w:r>
        <w:t xml:space="preserve">“misplaced priorities”</w:t>
      </w:r>
      <w:r>
        <w:t xml:space="preserve"> </w:t>
      </w:r>
      <w:r>
        <w:t xml:space="preserve">deactivates the prophetic force of the passage and robs the listener of the weight they need to feel in order for the call to repentance (vv. 7–10) to be genuinely motivated. Do not protect your congregation from the charge James levels. Let it land.</w:t>
      </w:r>
    </w:p>
    <w:p>
      <w:pPr>
        <w:numPr>
          <w:ilvl w:val="0"/>
          <w:numId w:val="1002"/>
        </w:numPr>
      </w:pPr>
      <w:r>
        <w:rPr>
          <w:b/>
          <w:bCs/>
        </w:rPr>
        <w:t xml:space="preserve">Isolating the three sections of the chapter as three unrelated topics.</w:t>
      </w:r>
      <w:r>
        <w:t xml:space="preserve"> </w:t>
      </w:r>
      <w:r>
        <w:t xml:space="preserve">Conflicts (vv. 1–10), slander (vv. 11–12), and presumptuous planning (vv. 13–16) are sometimes preached as three separate mini-lessons without a unifying diagnosis. James is not presenting three unrelated problems — he is showing three expressions of the same root: self-will, self-sufficiency, and self-appointment to roles that belong to God. A sermon that fails to name this common root leaves the congregation with a list instead of a diagnosis.</w:t>
      </w:r>
    </w:p>
    <w:p>
      <w:pPr>
        <w:numPr>
          <w:ilvl w:val="0"/>
          <w:numId w:val="1002"/>
        </w:numPr>
      </w:pPr>
      <w:r>
        <w:rPr>
          <w:b/>
          <w:bCs/>
        </w:rPr>
        <w:t xml:space="preserve">Reading v. 17 as a free-floating moral principle.</w:t>
      </w:r>
      <w:r>
        <w:t xml:space="preserve"> </w:t>
      </w:r>
      <w:r>
        <w:t xml:space="preserve">“Knowing the right thing and not doing it is sin”</w:t>
      </w:r>
      <w:r>
        <w:t xml:space="preserve"> </w:t>
      </w:r>
      <w:r>
        <w:t xml:space="preserve">is regularly extracted from James 4 and used as a generic motivational closing for sermons on any text. In context, it is the capstone of this specific chapter’s confrontation: James’s readers know what faithful covenant living looks like, and their failure to live it is precisely what the chapter has been indicting. The verse lands hardest when it is read as James’s closing verdict on everything he has just said, not as a general insight detached from this argument.</w:t>
      </w:r>
    </w:p>
    <w:p>
      <w:pPr>
        <w:numPr>
          <w:ilvl w:val="0"/>
          <w:numId w:val="1002"/>
        </w:numPr>
      </w:pPr>
      <w:r>
        <w:rPr>
          <w:b/>
          <w:bCs/>
        </w:rPr>
        <w:t xml:space="preserve">Preaching vv. 13–16 as an anti-business or anti-planning text.</w:t>
      </w:r>
      <w:r>
        <w:t xml:space="preserve"> </w:t>
      </w:r>
      <w:r>
        <w:t xml:space="preserve">James is not condemning commercial activity or the making of plans. He is condemning the posture of autonomous self-sufficiency that plans as though God does not govern tomorrow. The corrective in v. 15 is not</w:t>
      </w:r>
      <w:r>
        <w:t xml:space="preserve"> </w:t>
      </w:r>
      <w:r>
        <w:t xml:space="preserve">“make no plans”</w:t>
      </w:r>
      <w:r>
        <w:t xml:space="preserve"> </w:t>
      </w:r>
      <w:r>
        <w:t xml:space="preserve">but</w:t>
      </w:r>
      <w:r>
        <w:t xml:space="preserve"> </w:t>
      </w:r>
      <w:r>
        <w:t xml:space="preserve">“hold all plans contingently, under the Lord’s will.”</w:t>
      </w:r>
      <w:r>
        <w:t xml:space="preserve"> </w:t>
      </w:r>
      <w:r>
        <w:t xml:space="preserve">A sermon that leaves the congregation thinking they should not make plans has misread the text. The application should produce theocentric planners, not passive non-planners.</w:t>
      </w:r>
    </w:p>
    <w:p>
      <w:pPr>
        <w:numPr>
          <w:ilvl w:val="0"/>
          <w:numId w:val="1002"/>
        </w:numPr>
      </w:pPr>
      <w:r>
        <w:rPr>
          <w:b/>
          <w:bCs/>
        </w:rPr>
        <w:t xml:space="preserve">Missing the pastoral arc: James is calling people back, not writing them off.</w:t>
      </w:r>
      <w:r>
        <w:t xml:space="preserve"> </w:t>
      </w:r>
      <w:r>
        <w:t xml:space="preserve">The tone of confrontation in this chapter is sometimes preached in a way that leaves the congregation feeling condemned without a way forward. But the passage is full of promise: God gives grace (v. 6), the devil flees (v. 7), God draws near (v. 8), and God exalts the humble (v. 10). The confrontation is in service of the call to return. The goal of the sermon is not to leave people crushed by the adultery charge but to move them through genuine repentance into the posture where God’s grace flows. End there — not in condemnation, but in the lavish grace promised to those who humble themselves before the Lord.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2026-07-14T21:08:28Z</dcterms:created>
  <dcterms:modified xsi:type="dcterms:W3CDTF">2026-07-14T21:08:28Z</dcterms:modified>
</cp:coreProperties>
</file>

<file path=docProps/custom.xml><?xml version="1.0" encoding="utf-8"?>
<Properties xmlns="http://schemas.openxmlformats.org/officeDocument/2006/custom-properties" xmlns:vt="http://schemas.openxmlformats.org/officeDocument/2006/docPropsVTypes"/>
</file>